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bookmarkStart w:id="2" w:name="_GoBack"/>
      <w:bookmarkEnd w:id="2"/>
      <w:r>
        <w:rPr>
          <w:b/>
          <w:sz w:val="32"/>
          <w:szCs w:val="32"/>
        </w:rPr>
        <w:t>校园统一支付平台缴费说明</w:t>
      </w:r>
    </w:p>
    <w:p>
      <w:pPr>
        <w:pStyle w:val="2"/>
      </w:pPr>
      <w:r>
        <w:rPr>
          <w:rFonts w:hint="eastAsia"/>
        </w:rPr>
        <w:t>系统简介</w:t>
      </w:r>
    </w:p>
    <w:p>
      <w:pPr>
        <w:pStyle w:val="3"/>
        <w:rPr>
          <w:szCs w:val="21"/>
        </w:rPr>
      </w:pPr>
      <w:r>
        <w:rPr>
          <w:rFonts w:hint="eastAsia"/>
          <w:szCs w:val="21"/>
        </w:rPr>
        <w:t>浙江农林大学校园统一支付平台是针对在校生、老师及外校人员进行网上缴费的一个收费系统。在校生、教师以及校外人员能随时随地通过本系统缴纳各种费用，并能够实时查询项目欠费和已缴费情况。</w:t>
      </w:r>
    </w:p>
    <w:p>
      <w:pPr>
        <w:pStyle w:val="3"/>
        <w:rPr>
          <w:szCs w:val="21"/>
        </w:rPr>
      </w:pPr>
      <w:r>
        <w:rPr>
          <w:rFonts w:hint="eastAsia"/>
          <w:szCs w:val="21"/>
        </w:rPr>
        <w:t>平台与建行超级网银合作，</w:t>
      </w:r>
      <w:r>
        <w:rPr>
          <w:rFonts w:hint="eastAsia"/>
          <w:color w:val="FF0000"/>
          <w:szCs w:val="21"/>
        </w:rPr>
        <w:t>允许使用带</w:t>
      </w:r>
      <w:r>
        <w:rPr>
          <w:rFonts w:hint="eastAsia"/>
          <w:color w:val="FF0000"/>
          <w:szCs w:val="21"/>
          <w:u w:val="single"/>
        </w:rPr>
        <w:t>银联标志的各类银行卡</w:t>
      </w:r>
      <w:r>
        <w:rPr>
          <w:rFonts w:hint="eastAsia"/>
          <w:color w:val="FF0000"/>
          <w:szCs w:val="21"/>
        </w:rPr>
        <w:t>进行跨行网上缴费（跨行免手续费）</w:t>
      </w:r>
      <w:r>
        <w:rPr>
          <w:rFonts w:hint="eastAsia"/>
          <w:szCs w:val="21"/>
        </w:rPr>
        <w:t>。</w:t>
      </w:r>
    </w:p>
    <w:p>
      <w:pPr>
        <w:pStyle w:val="2"/>
      </w:pPr>
      <w:r>
        <w:rPr>
          <w:rFonts w:hint="eastAsia"/>
        </w:rPr>
        <w:t>系统功能</w:t>
      </w:r>
    </w:p>
    <w:p>
      <w:pPr>
        <w:pStyle w:val="3"/>
        <w:rPr>
          <w:szCs w:val="21"/>
        </w:rPr>
      </w:pPr>
      <w:r>
        <w:rPr>
          <w:rFonts w:hint="eastAsia"/>
          <w:szCs w:val="21"/>
        </w:rPr>
        <w:t>支付平台主要包括的功能有：个人信息管理、欠费查询、学费缴费、其他缴费、缴费记录查询、已缴费信息查询以及项目报名。</w:t>
      </w:r>
    </w:p>
    <w:p>
      <w:pPr>
        <w:pStyle w:val="2"/>
      </w:pPr>
      <w:r>
        <w:rPr>
          <w:rFonts w:hint="eastAsia"/>
        </w:rPr>
        <w:t>系统使用说明</w:t>
      </w:r>
      <w:r>
        <w:rPr>
          <w:rFonts w:hint="eastAsia"/>
        </w:rPr>
        <w:tab/>
      </w:r>
    </w:p>
    <w:p>
      <w:pPr>
        <w:pStyle w:val="4"/>
      </w:pPr>
      <w:r>
        <w:rPr>
          <w:rFonts w:hint="eastAsia"/>
        </w:rPr>
        <w:t>系统登陆</w:t>
      </w:r>
    </w:p>
    <w:p>
      <w:pPr>
        <w:pStyle w:val="3"/>
        <w:ind w:firstLine="840" w:firstLineChars="400"/>
        <w:rPr>
          <w:rFonts w:hint="eastAsia"/>
          <w:szCs w:val="21"/>
        </w:rPr>
      </w:pPr>
      <w:r>
        <w:rPr>
          <w:rFonts w:hint="eastAsia"/>
          <w:szCs w:val="21"/>
        </w:rPr>
        <w:t>在浏览器地址栏输入http://jccxysf.zafu.edu.cn/login.aspx，如图3.1-1所示。</w:t>
      </w:r>
    </w:p>
    <w:p>
      <w:pPr>
        <w:pStyle w:val="3"/>
        <w:ind w:left="0" w:leftChars="0" w:firstLine="420" w:firstLineChars="200"/>
        <w:rPr>
          <w:rFonts w:hint="eastAsia"/>
          <w:color w:val="FF0000"/>
          <w:szCs w:val="21"/>
        </w:rPr>
      </w:pPr>
    </w:p>
    <w:p>
      <w:pPr>
        <w:pStyle w:val="3"/>
        <w:ind w:left="0" w:leftChars="0" w:firstLine="420" w:firstLineChars="200"/>
        <w:rPr>
          <w:rFonts w:hint="eastAsia"/>
          <w:b/>
          <w:color w:val="FF0000"/>
          <w:szCs w:val="21"/>
        </w:rPr>
      </w:pPr>
      <w:r>
        <w:rPr>
          <w:rFonts w:hint="eastAsia"/>
          <w:color w:val="FF0000"/>
          <w:szCs w:val="21"/>
          <w:lang w:eastAsia="zh-CN"/>
        </w:rPr>
        <w:t>学生</w:t>
      </w:r>
      <w:r>
        <w:rPr>
          <w:rFonts w:hint="eastAsia"/>
          <w:color w:val="FF0000"/>
          <w:szCs w:val="21"/>
        </w:rPr>
        <w:t>登陆时，用户名为身份证号码，初始密码为</w:t>
      </w:r>
      <w:r>
        <w:rPr>
          <w:rFonts w:hint="eastAsia"/>
          <w:color w:val="FF0000"/>
          <w:szCs w:val="21"/>
          <w:lang w:eastAsia="zh-CN"/>
        </w:rPr>
        <w:t>身份证后</w:t>
      </w:r>
      <w:r>
        <w:rPr>
          <w:rFonts w:hint="eastAsia"/>
          <w:color w:val="FF0000"/>
          <w:szCs w:val="21"/>
          <w:lang w:val="en-US" w:eastAsia="zh-CN"/>
        </w:rPr>
        <w:t>6位或者Zafu@身份证号12-17位</w:t>
      </w:r>
      <w:r>
        <w:rPr>
          <w:rFonts w:hint="eastAsia"/>
          <w:szCs w:val="21"/>
        </w:rPr>
        <w:t>登陆支付平台后，</w:t>
      </w:r>
      <w:r>
        <w:rPr>
          <w:rFonts w:hint="eastAsia"/>
          <w:b/>
          <w:color w:val="FF0000"/>
          <w:szCs w:val="21"/>
        </w:rPr>
        <w:t>请确认个人信息无误后再进行缴费，避免误交费。</w:t>
      </w:r>
    </w:p>
    <w:p>
      <w:pPr>
        <w:pStyle w:val="3"/>
        <w:rPr>
          <w:szCs w:val="21"/>
        </w:rPr>
      </w:pPr>
    </w:p>
    <w:p>
      <w:pPr>
        <w:rPr>
          <w:lang/>
        </w:rPr>
      </w:pPr>
      <w:r>
        <w:rPr>
          <w:lang/>
        </w:rPr>
        <w:drawing>
          <wp:inline distT="0" distB="0" distL="114300" distR="114300">
            <wp:extent cx="5273040" cy="2930525"/>
            <wp:effectExtent l="0" t="0" r="1016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2930525"/>
                    </a:xfrm>
                    <a:prstGeom prst="rect">
                      <a:avLst/>
                    </a:prstGeom>
                    <a:noFill/>
                    <a:ln>
                      <a:noFill/>
                    </a:ln>
                  </pic:spPr>
                </pic:pic>
              </a:graphicData>
            </a:graphic>
          </wp:inline>
        </w:drawing>
      </w:r>
    </w:p>
    <w:p>
      <w:pPr>
        <w:jc w:val="center"/>
        <w:rPr>
          <w:rFonts w:hint="eastAsia"/>
          <w:szCs w:val="21"/>
        </w:rPr>
      </w:pPr>
      <w:r>
        <w:rPr>
          <w:rFonts w:hint="eastAsia"/>
          <w:szCs w:val="21"/>
        </w:rPr>
        <w:t>图 3.1-1 统一支付平台登陆界面</w:t>
      </w:r>
    </w:p>
    <w:p>
      <w:pPr>
        <w:rPr>
          <w:lang/>
        </w:rPr>
      </w:pPr>
    </w:p>
    <w:p>
      <w:pPr>
        <w:jc w:val="center"/>
        <w:rPr>
          <w:szCs w:val="21"/>
        </w:rPr>
      </w:pPr>
    </w:p>
    <w:p>
      <w:pPr>
        <w:pStyle w:val="3"/>
        <w:ind w:firstLineChars="0"/>
        <w:rPr>
          <w:szCs w:val="21"/>
        </w:rPr>
      </w:pPr>
      <w:r>
        <w:rPr>
          <w:rFonts w:hint="eastAsia"/>
          <w:szCs w:val="21"/>
        </w:rPr>
        <w:t>登陆之后显示个人欠费信息，如图3.1-2所示。</w:t>
      </w:r>
    </w:p>
    <w:p>
      <w:pPr>
        <w:rPr>
          <w:lang/>
        </w:rPr>
      </w:pPr>
      <w:r>
        <w:rPr>
          <w:lang/>
        </w:rPr>
        <w:drawing>
          <wp:inline distT="0" distB="0" distL="114300" distR="114300">
            <wp:extent cx="5276850" cy="3043555"/>
            <wp:effectExtent l="0" t="0" r="635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6850" cy="3043555"/>
                    </a:xfrm>
                    <a:prstGeom prst="rect">
                      <a:avLst/>
                    </a:prstGeom>
                    <a:noFill/>
                    <a:ln>
                      <a:noFill/>
                    </a:ln>
                  </pic:spPr>
                </pic:pic>
              </a:graphicData>
            </a:graphic>
          </wp:inline>
        </w:drawing>
      </w:r>
    </w:p>
    <w:p>
      <w:pPr>
        <w:rPr>
          <w:szCs w:val="21"/>
        </w:rPr>
      </w:pPr>
    </w:p>
    <w:p>
      <w:pPr>
        <w:jc w:val="center"/>
        <w:rPr>
          <w:rFonts w:hint="eastAsia"/>
          <w:szCs w:val="21"/>
        </w:rPr>
      </w:pPr>
      <w:r>
        <w:rPr>
          <w:szCs w:val="21"/>
        </w:rPr>
        <w:t>图</w:t>
      </w:r>
      <w:r>
        <w:rPr>
          <w:rFonts w:hint="eastAsia"/>
          <w:szCs w:val="21"/>
        </w:rPr>
        <w:t xml:space="preserve"> 3.1-2 统一支付平台登陆后页面</w:t>
      </w:r>
    </w:p>
    <w:p>
      <w:pPr>
        <w:jc w:val="center"/>
        <w:rPr>
          <w:rFonts w:hint="eastAsia"/>
          <w:szCs w:val="21"/>
        </w:rPr>
      </w:pPr>
    </w:p>
    <w:p>
      <w:pPr>
        <w:pStyle w:val="4"/>
      </w:pPr>
      <w:r>
        <w:rPr>
          <w:rFonts w:hint="eastAsia"/>
        </w:rPr>
        <w:t>欠费信息查询</w:t>
      </w:r>
    </w:p>
    <w:p>
      <w:pPr>
        <w:ind w:left="420"/>
      </w:pPr>
      <w:r>
        <w:rPr>
          <w:rFonts w:hint="eastAsia"/>
        </w:rPr>
        <w:t>点击导航栏“当前费用”按钮，显示当前人员的所有欠费。如图3.3-1所示。</w:t>
      </w:r>
    </w:p>
    <w:p>
      <w:r>
        <w:rPr>
          <w:lang/>
        </w:rPr>
        <w:drawing>
          <wp:inline distT="0" distB="0" distL="114300" distR="114300">
            <wp:extent cx="5273675" cy="1459865"/>
            <wp:effectExtent l="0" t="0" r="952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3675" cy="1459865"/>
                    </a:xfrm>
                    <a:prstGeom prst="rect">
                      <a:avLst/>
                    </a:prstGeom>
                    <a:noFill/>
                    <a:ln>
                      <a:noFill/>
                    </a:ln>
                  </pic:spPr>
                </pic:pic>
              </a:graphicData>
            </a:graphic>
          </wp:inline>
        </w:drawing>
      </w:r>
    </w:p>
    <w:p>
      <w:pPr>
        <w:jc w:val="center"/>
        <w:rPr>
          <w:rFonts w:hint="eastAsia"/>
        </w:rPr>
      </w:pPr>
      <w:r>
        <w:rPr>
          <w:rFonts w:hint="eastAsia"/>
        </w:rPr>
        <w:t>图 3.3-1欠费显示</w:t>
      </w:r>
    </w:p>
    <w:p>
      <w:pPr>
        <w:jc w:val="center"/>
        <w:rPr>
          <w:rFonts w:hint="eastAsia"/>
        </w:rPr>
      </w:pPr>
    </w:p>
    <w:p>
      <w:pPr>
        <w:pStyle w:val="3"/>
        <w:numPr>
          <w:ilvl w:val="0"/>
          <w:numId w:val="4"/>
        </w:numPr>
        <w:ind w:firstLineChars="0"/>
      </w:pPr>
      <w:r>
        <w:rPr>
          <w:rFonts w:hint="eastAsia"/>
        </w:rPr>
        <w:t>收费起始、收费终止：</w:t>
      </w:r>
      <w:r>
        <w:rPr>
          <w:rFonts w:hint="eastAsia"/>
          <w:color w:val="FF0000"/>
        </w:rPr>
        <w:t>各类缴费根据学校要求需要在规定时间段之内完成缴费</w:t>
      </w:r>
      <w:r>
        <w:rPr>
          <w:rFonts w:hint="eastAsia"/>
        </w:rPr>
        <w:t>。</w:t>
      </w:r>
    </w:p>
    <w:p>
      <w:pPr>
        <w:pStyle w:val="3"/>
        <w:numPr>
          <w:ilvl w:val="0"/>
          <w:numId w:val="4"/>
        </w:numPr>
        <w:ind w:firstLineChars="0"/>
      </w:pPr>
      <w:r>
        <w:rPr>
          <w:rFonts w:hint="eastAsia"/>
        </w:rPr>
        <w:t>收费状态：收费：当前正在收费；停止：当前暂停缴费。</w:t>
      </w:r>
    </w:p>
    <w:p>
      <w:pPr>
        <w:pStyle w:val="3"/>
        <w:numPr>
          <w:ilvl w:val="0"/>
          <w:numId w:val="4"/>
        </w:numPr>
        <w:ind w:firstLineChars="0"/>
      </w:pPr>
      <w:r>
        <w:rPr>
          <w:rFonts w:hint="eastAsia"/>
        </w:rPr>
        <w:t>收费类型：学费：学生学费住宿费等；其他费用：学校其他的零星费用。</w:t>
      </w:r>
    </w:p>
    <w:p>
      <w:pPr>
        <w:pStyle w:val="3"/>
        <w:numPr>
          <w:ilvl w:val="0"/>
          <w:numId w:val="4"/>
        </w:numPr>
        <w:ind w:firstLineChars="0"/>
      </w:pPr>
      <w:r>
        <w:rPr>
          <w:rFonts w:hint="eastAsia"/>
        </w:rPr>
        <w:t>各类费用，还可以点击导航栏的学费缴费、其他缴费查询。</w:t>
      </w:r>
    </w:p>
    <w:p>
      <w:pPr>
        <w:pStyle w:val="4"/>
        <w:numPr>
          <w:ilvl w:val="0"/>
          <w:numId w:val="0"/>
        </w:numPr>
      </w:pPr>
    </w:p>
    <w:p>
      <w:pPr>
        <w:pStyle w:val="4"/>
        <w:rPr>
          <w:rFonts w:hint="eastAsia"/>
          <w:lang w:eastAsia="zh-CN"/>
        </w:rPr>
      </w:pPr>
      <w:r>
        <w:rPr>
          <w:rFonts w:hint="eastAsia"/>
          <w:lang w:eastAsia="zh-CN"/>
        </w:rPr>
        <w:t>报名费缴纳说明</w:t>
      </w:r>
    </w:p>
    <w:p>
      <w:pPr>
        <w:ind w:firstLine="420" w:firstLineChars="200"/>
      </w:pPr>
      <w:r>
        <w:rPr>
          <w:rFonts w:hint="eastAsia"/>
          <w:color w:val="FF0000"/>
        </w:rPr>
        <w:t>请根据当前费用查询的到的收费类型选择导航栏具体缴费按钮</w:t>
      </w:r>
      <w:r>
        <w:rPr>
          <w:rFonts w:hint="eastAsia"/>
        </w:rPr>
        <w:t>，例如：收费类型为其他费用，则点击导航栏的“其他缴费”按钮，进入其他零星缴费显示和选择页面，如图3.2-1所示。</w:t>
      </w:r>
    </w:p>
    <w:p>
      <w:pPr>
        <w:rPr>
          <w:rFonts w:hint="eastAsia"/>
        </w:rPr>
      </w:pPr>
      <w:r>
        <w:rPr>
          <w:lang/>
        </w:rPr>
        <w:drawing>
          <wp:inline distT="0" distB="0" distL="114300" distR="114300">
            <wp:extent cx="5276850" cy="3167380"/>
            <wp:effectExtent l="0" t="0" r="6350" b="762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
                    <a:stretch>
                      <a:fillRect/>
                    </a:stretch>
                  </pic:blipFill>
                  <pic:spPr>
                    <a:xfrm>
                      <a:off x="0" y="0"/>
                      <a:ext cx="5276850" cy="3167380"/>
                    </a:xfrm>
                    <a:prstGeom prst="rect">
                      <a:avLst/>
                    </a:prstGeom>
                    <a:noFill/>
                    <a:ln>
                      <a:noFill/>
                    </a:ln>
                  </pic:spPr>
                </pic:pic>
              </a:graphicData>
            </a:graphic>
          </wp:inline>
        </w:drawing>
      </w:r>
    </w:p>
    <w:p>
      <w:pPr>
        <w:jc w:val="center"/>
        <w:rPr>
          <w:rFonts w:hint="eastAsia"/>
          <w:szCs w:val="21"/>
        </w:rPr>
      </w:pPr>
      <w:r>
        <w:rPr>
          <w:rFonts w:hint="eastAsia"/>
        </w:rPr>
        <w:t xml:space="preserve">        </w:t>
      </w:r>
      <w:r>
        <w:rPr>
          <w:rFonts w:hint="eastAsia"/>
          <w:szCs w:val="21"/>
        </w:rPr>
        <w:t>图 3.2-1 其他缴费界面</w:t>
      </w:r>
    </w:p>
    <w:p>
      <w:pPr>
        <w:rPr>
          <w:rFonts w:hint="eastAsia"/>
        </w:rPr>
      </w:pPr>
    </w:p>
    <w:p>
      <w:pPr>
        <w:rPr>
          <w:rFonts w:hint="eastAsia"/>
        </w:rPr>
      </w:pPr>
    </w:p>
    <w:p>
      <w:pPr>
        <w:pStyle w:val="3"/>
        <w:numPr>
          <w:ilvl w:val="0"/>
          <w:numId w:val="5"/>
        </w:numPr>
        <w:ind w:firstLineChars="0"/>
      </w:pPr>
      <w:r>
        <w:rPr>
          <w:rFonts w:hint="eastAsia"/>
        </w:rPr>
        <w:t>选择缴费项目  确认缴费项目、金额无误，选择欠费项目，点击“下一步”如图3.2-2所示。</w:t>
      </w:r>
    </w:p>
    <w:p>
      <w:pPr>
        <w:rPr>
          <w:rFonts w:hint="eastAsia"/>
          <w:lang/>
        </w:rPr>
      </w:pPr>
      <w:r>
        <w:rPr>
          <w:lang/>
        </w:rPr>
        <w:drawing>
          <wp:inline distT="0" distB="0" distL="114300" distR="114300">
            <wp:extent cx="5271770" cy="3199130"/>
            <wp:effectExtent l="0" t="0" r="11430" b="127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8"/>
                    <a:stretch>
                      <a:fillRect/>
                    </a:stretch>
                  </pic:blipFill>
                  <pic:spPr>
                    <a:xfrm>
                      <a:off x="0" y="0"/>
                      <a:ext cx="5271770" cy="3199130"/>
                    </a:xfrm>
                    <a:prstGeom prst="rect">
                      <a:avLst/>
                    </a:prstGeom>
                    <a:noFill/>
                    <a:ln>
                      <a:noFill/>
                    </a:ln>
                  </pic:spPr>
                </pic:pic>
              </a:graphicData>
            </a:graphic>
          </wp:inline>
        </w:drawing>
      </w:r>
    </w:p>
    <w:p>
      <w:pPr>
        <w:ind w:firstLine="3570" w:firstLineChars="1700"/>
        <w:rPr>
          <w:rFonts w:hint="eastAsia"/>
        </w:rPr>
      </w:pPr>
      <w:r>
        <w:rPr>
          <w:rFonts w:hint="eastAsia"/>
        </w:rPr>
        <w:t>图3.2-2 选择缴费项目</w:t>
      </w:r>
    </w:p>
    <w:p>
      <w:pPr>
        <w:ind w:firstLine="3570" w:firstLineChars="1700"/>
        <w:rPr>
          <w:rFonts w:hint="eastAsia"/>
          <w:lang/>
        </w:rPr>
      </w:pPr>
    </w:p>
    <w:p>
      <w:pPr>
        <w:pStyle w:val="3"/>
        <w:numPr>
          <w:ilvl w:val="0"/>
          <w:numId w:val="5"/>
        </w:numPr>
        <w:ind w:firstLineChars="0"/>
      </w:pPr>
      <w:r>
        <w:rPr>
          <w:rFonts w:hint="eastAsia"/>
        </w:rPr>
        <w:t>确认业务单   确认业务单项目、金额无误。点击“进入缴费”。如图3.2-3所示。</w:t>
      </w:r>
    </w:p>
    <w:p>
      <w:pPr>
        <w:pStyle w:val="3"/>
        <w:ind w:firstLine="517" w:firstLineChars="245"/>
        <w:rPr>
          <w:b/>
        </w:rPr>
      </w:pPr>
      <w:r>
        <w:rPr>
          <w:rFonts w:hint="eastAsia"/>
          <w:b/>
        </w:rPr>
        <w:t>注：业务单未支付完成可重复使用。</w:t>
      </w:r>
    </w:p>
    <w:p>
      <w:pPr>
        <w:rPr>
          <w:rFonts w:hint="eastAsia"/>
          <w:lang/>
        </w:rPr>
      </w:pPr>
    </w:p>
    <w:p>
      <w:pPr>
        <w:rPr>
          <w:rFonts w:hint="eastAsia"/>
          <w:lang/>
        </w:rPr>
      </w:pPr>
      <w:r>
        <w:rPr>
          <w:lang/>
        </w:rPr>
        <w:drawing>
          <wp:inline distT="0" distB="0" distL="114300" distR="114300">
            <wp:extent cx="5273040" cy="3162935"/>
            <wp:effectExtent l="0" t="0" r="10160" b="12065"/>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pic:cNvPicPr>
                  </pic:nvPicPr>
                  <pic:blipFill>
                    <a:blip r:embed="rId9"/>
                    <a:stretch>
                      <a:fillRect/>
                    </a:stretch>
                  </pic:blipFill>
                  <pic:spPr>
                    <a:xfrm>
                      <a:off x="0" y="0"/>
                      <a:ext cx="5273040" cy="3162935"/>
                    </a:xfrm>
                    <a:prstGeom prst="rect">
                      <a:avLst/>
                    </a:prstGeom>
                    <a:noFill/>
                    <a:ln>
                      <a:noFill/>
                    </a:ln>
                  </pic:spPr>
                </pic:pic>
              </a:graphicData>
            </a:graphic>
          </wp:inline>
        </w:drawing>
      </w:r>
    </w:p>
    <w:p>
      <w:pPr>
        <w:rPr>
          <w:rFonts w:hint="eastAsia"/>
          <w:lang/>
        </w:rPr>
      </w:pPr>
      <w:r>
        <w:rPr>
          <w:rFonts w:hint="eastAsia"/>
          <w:lang/>
        </w:rPr>
        <w:t xml:space="preserve">                        </w:t>
      </w:r>
      <w:r>
        <w:rPr>
          <w:rFonts w:hint="eastAsia"/>
        </w:rPr>
        <w:t>图3.2-3  交费业务单信息</w:t>
      </w:r>
    </w:p>
    <w:p>
      <w:pPr>
        <w:rPr>
          <w:rFonts w:hint="eastAsia"/>
          <w:lang/>
        </w:rPr>
      </w:pPr>
    </w:p>
    <w:p>
      <w:pPr>
        <w:rPr>
          <w:rFonts w:hint="eastAsia"/>
          <w:lang/>
        </w:rPr>
      </w:pPr>
    </w:p>
    <w:p>
      <w:pPr>
        <w:rPr>
          <w:rFonts w:hint="eastAsia"/>
          <w:lang/>
        </w:rPr>
      </w:pPr>
    </w:p>
    <w:p>
      <w:pPr>
        <w:pStyle w:val="3"/>
        <w:numPr>
          <w:ilvl w:val="0"/>
          <w:numId w:val="5"/>
        </w:numPr>
        <w:ind w:firstLineChars="0"/>
      </w:pPr>
      <w:r>
        <w:t>缴费信息确认及缴费方式选择。如图3.</w:t>
      </w:r>
      <w:r>
        <w:rPr>
          <w:rFonts w:hint="eastAsia"/>
        </w:rPr>
        <w:t>2</w:t>
      </w:r>
      <w:r>
        <w:t>-4所示。</w:t>
      </w:r>
    </w:p>
    <w:p>
      <w:pPr>
        <w:pStyle w:val="3"/>
        <w:numPr>
          <w:ilvl w:val="0"/>
          <w:numId w:val="5"/>
        </w:numPr>
        <w:ind w:firstLineChars="0"/>
        <w:rPr>
          <w:rFonts w:hint="eastAsia"/>
        </w:rPr>
      </w:pPr>
      <w:r>
        <w:rPr>
          <w:rFonts w:hint="eastAsia"/>
        </w:rPr>
        <w:t>确定支付金额无误后，点击选择中国</w:t>
      </w:r>
      <w:r>
        <w:t>建设银行</w:t>
      </w:r>
      <w:r>
        <w:rPr>
          <w:rFonts w:hint="eastAsia"/>
        </w:rPr>
        <w:t>，进入如图3.25所示建设银行超级网银支付界面。</w:t>
      </w:r>
    </w:p>
    <w:p>
      <w:pPr>
        <w:pStyle w:val="3"/>
        <w:numPr>
          <w:ilvl w:val="0"/>
          <w:numId w:val="5"/>
        </w:numPr>
        <w:ind w:firstLineChars="0"/>
        <w:rPr>
          <w:rFonts w:hint="eastAsia"/>
          <w:b/>
          <w:color w:val="FF0000"/>
        </w:rPr>
      </w:pPr>
      <w:r>
        <w:rPr>
          <w:rFonts w:hint="eastAsia"/>
        </w:rPr>
        <w:t>建设</w:t>
      </w:r>
      <w:r>
        <w:t>银行超级网银</w:t>
      </w:r>
      <w:r>
        <w:rPr>
          <w:rFonts w:hint="eastAsia"/>
        </w:rPr>
        <w:t>，如图3.4-5所示，允许使用建行及其他银行带银联标志的各类银行卡进行缴费。</w:t>
      </w:r>
      <w:r>
        <w:rPr>
          <w:rFonts w:hint="eastAsia"/>
          <w:b/>
          <w:color w:val="FF0000"/>
        </w:rPr>
        <w:t>注意：请确认商户</w:t>
      </w:r>
      <w:r>
        <w:rPr>
          <w:b/>
          <w:color w:val="FF0000"/>
        </w:rPr>
        <w:t>名称</w:t>
      </w:r>
      <w:r>
        <w:rPr>
          <w:rFonts w:hint="eastAsia"/>
          <w:b/>
          <w:color w:val="FF0000"/>
        </w:rPr>
        <w:t>： 浙江农林大学，缴费地址以</w:t>
      </w:r>
      <w:r>
        <w:fldChar w:fldCharType="begin"/>
      </w:r>
      <w:r>
        <w:instrText xml:space="preserve"> HYPERLINK "https://ib</w:instrText>
      </w:r>
      <w:r>
        <w:rPr>
          <w:rFonts w:hint="eastAsia"/>
        </w:rPr>
        <w:instrText xml:space="preserve">sbjstar.ccb.com.cn</w:instrText>
      </w:r>
      <w:r>
        <w:instrText xml:space="preserve">" </w:instrText>
      </w:r>
      <w:r>
        <w:fldChar w:fldCharType="separate"/>
      </w:r>
      <w:r>
        <w:rPr>
          <w:rStyle w:val="13"/>
        </w:rPr>
        <w:t>https://ib</w:t>
      </w:r>
      <w:r>
        <w:rPr>
          <w:rStyle w:val="13"/>
          <w:rFonts w:hint="eastAsia"/>
        </w:rPr>
        <w:t>sbjstar.ccb.com.cn</w:t>
      </w:r>
      <w:r>
        <w:fldChar w:fldCharType="end"/>
      </w:r>
      <w:r>
        <w:rPr>
          <w:rFonts w:hint="eastAsia"/>
        </w:rPr>
        <w:t xml:space="preserve"> </w:t>
      </w:r>
      <w:r>
        <w:rPr>
          <w:b/>
          <w:color w:val="FF0000"/>
        </w:rPr>
        <w:t>开始</w:t>
      </w:r>
      <w:r>
        <w:rPr>
          <w:rFonts w:hint="eastAsia"/>
          <w:b/>
          <w:color w:val="FF0000"/>
        </w:rPr>
        <w:t>，</w:t>
      </w:r>
      <w:r>
        <w:rPr>
          <w:b/>
          <w:color w:val="FF0000"/>
        </w:rPr>
        <w:t>金额与系统缴费金额一致后再缴费</w:t>
      </w:r>
      <w:r>
        <w:rPr>
          <w:rFonts w:hint="eastAsia"/>
          <w:b/>
          <w:color w:val="FF0000"/>
        </w:rPr>
        <w:t>。</w:t>
      </w:r>
    </w:p>
    <w:p>
      <w:pPr>
        <w:pStyle w:val="3"/>
        <w:ind w:left="142" w:firstLine="141" w:firstLineChars="67"/>
        <w:jc w:val="left"/>
        <w:rPr>
          <w:rFonts w:hint="eastAsia"/>
          <w:b/>
          <w:color w:val="FF0000"/>
        </w:rPr>
      </w:pPr>
      <w:r>
        <w:rPr>
          <w:b/>
          <w:color w:val="FF0000"/>
        </w:rPr>
        <w:drawing>
          <wp:inline distT="0" distB="0" distL="114300" distR="114300">
            <wp:extent cx="5273675" cy="3042920"/>
            <wp:effectExtent l="0" t="0" r="952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3675" cy="3042920"/>
                    </a:xfrm>
                    <a:prstGeom prst="rect">
                      <a:avLst/>
                    </a:prstGeom>
                    <a:noFill/>
                    <a:ln>
                      <a:noFill/>
                    </a:ln>
                  </pic:spPr>
                </pic:pic>
              </a:graphicData>
            </a:graphic>
          </wp:inline>
        </w:drawing>
      </w:r>
    </w:p>
    <w:p>
      <w:pPr>
        <w:pStyle w:val="3"/>
        <w:ind w:firstLine="417" w:firstLineChars="199"/>
        <w:jc w:val="center"/>
        <w:rPr>
          <w:rFonts w:hint="eastAsia"/>
        </w:rPr>
      </w:pPr>
      <w:r>
        <w:t>图3.</w:t>
      </w:r>
      <w:r>
        <w:rPr>
          <w:rFonts w:hint="eastAsia"/>
        </w:rPr>
        <w:t>2</w:t>
      </w:r>
      <w:r>
        <w:t>-4</w:t>
      </w:r>
      <w:r>
        <w:rPr>
          <w:rFonts w:hint="eastAsia"/>
        </w:rPr>
        <w:t>支付银行及支付方式选择</w:t>
      </w:r>
    </w:p>
    <w:p>
      <w:pPr>
        <w:pStyle w:val="3"/>
        <w:ind w:firstLineChars="199"/>
        <w:jc w:val="center"/>
        <w:rPr>
          <w:b/>
          <w:color w:val="FF0000"/>
        </w:rPr>
      </w:pPr>
    </w:p>
    <w:p>
      <w:pPr>
        <w:pStyle w:val="3"/>
        <w:numPr>
          <w:ilvl w:val="0"/>
          <w:numId w:val="5"/>
        </w:numPr>
        <w:ind w:firstLineChars="0"/>
        <w:rPr>
          <w:rFonts w:hint="eastAsia"/>
          <w:lang/>
        </w:rPr>
      </w:pPr>
      <w:r>
        <w:rPr>
          <w:rFonts w:hint="eastAsia"/>
          <w:lang/>
        </w:rPr>
        <w:t>跳转界面后，请选择付款银行，其他银行请选择最后一个图标银联在线支付。并点击下一步。</w:t>
      </w:r>
    </w:p>
    <w:p>
      <w:pPr>
        <w:rPr>
          <w:rFonts w:hint="eastAsia"/>
        </w:rPr>
      </w:pPr>
    </w:p>
    <w:p>
      <w:pPr>
        <w:rPr>
          <w:rFonts w:hint="eastAsia"/>
        </w:rPr>
      </w:pPr>
      <w:r>
        <w:rPr>
          <w:rFonts w:hint="eastAsia"/>
        </w:rPr>
        <w:drawing>
          <wp:inline distT="0" distB="0" distL="114300" distR="114300">
            <wp:extent cx="5273675" cy="2546985"/>
            <wp:effectExtent l="0" t="0" r="952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3675" cy="2546985"/>
                    </a:xfrm>
                    <a:prstGeom prst="rect">
                      <a:avLst/>
                    </a:prstGeom>
                    <a:noFill/>
                    <a:ln>
                      <a:noFill/>
                    </a:ln>
                  </pic:spPr>
                </pic:pic>
              </a:graphicData>
            </a:graphic>
          </wp:inline>
        </w:drawing>
      </w:r>
    </w:p>
    <w:p>
      <w:pPr>
        <w:rPr>
          <w:rFonts w:hint="eastAsia"/>
        </w:rPr>
      </w:pPr>
      <w:r>
        <w:rPr>
          <w:rFonts w:hint="eastAsia"/>
        </w:rPr>
        <w:t xml:space="preserve">                    </w:t>
      </w:r>
      <w:r>
        <w:t>图3.</w:t>
      </w:r>
      <w:r>
        <w:rPr>
          <w:rFonts w:hint="eastAsia"/>
        </w:rPr>
        <w:t>2</w:t>
      </w:r>
      <w:r>
        <w:t>-</w:t>
      </w:r>
      <w:r>
        <w:rPr>
          <w:rFonts w:hint="eastAsia"/>
        </w:rPr>
        <w:t>5建行超级网银支付界面</w:t>
      </w:r>
    </w:p>
    <w:p>
      <w:pPr>
        <w:rPr>
          <w:rFonts w:hint="eastAsia"/>
        </w:rPr>
      </w:pPr>
    </w:p>
    <w:p>
      <w:pPr>
        <w:pStyle w:val="3"/>
        <w:numPr>
          <w:ilvl w:val="0"/>
          <w:numId w:val="5"/>
        </w:numPr>
        <w:ind w:firstLineChars="0"/>
        <w:rPr>
          <w:rFonts w:hint="eastAsia"/>
        </w:rPr>
      </w:pPr>
      <w:r>
        <w:rPr>
          <w:rFonts w:hint="eastAsia"/>
        </w:rPr>
        <w:t>跳转各大银行支付界面后，完成支付。图3.2- 6 为银联在线支付界面。</w:t>
      </w:r>
    </w:p>
    <w:p>
      <w:pPr>
        <w:rPr>
          <w:rFonts w:hint="eastAsia"/>
        </w:rPr>
      </w:pPr>
      <w:r>
        <w:rPr>
          <w:rFonts w:hint="eastAsia"/>
        </w:rPr>
        <w:drawing>
          <wp:inline distT="0" distB="0" distL="114300" distR="114300">
            <wp:extent cx="5271135" cy="3227070"/>
            <wp:effectExtent l="0" t="0" r="12065"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1135" cy="3227070"/>
                    </a:xfrm>
                    <a:prstGeom prst="rect">
                      <a:avLst/>
                    </a:prstGeom>
                    <a:noFill/>
                    <a:ln>
                      <a:noFill/>
                    </a:ln>
                  </pic:spPr>
                </pic:pic>
              </a:graphicData>
            </a:graphic>
          </wp:inline>
        </w:drawing>
      </w:r>
    </w:p>
    <w:p>
      <w:pPr>
        <w:jc w:val="center"/>
        <w:rPr>
          <w:rFonts w:hint="eastAsia"/>
        </w:rPr>
      </w:pPr>
      <w:r>
        <w:rPr>
          <w:rFonts w:hint="eastAsia"/>
        </w:rPr>
        <w:t>图3.2- 6 为银联在线支付界面</w:t>
      </w:r>
    </w:p>
    <w:p>
      <w:pPr>
        <w:jc w:val="center"/>
        <w:rPr>
          <w:rFonts w:hint="eastAsia"/>
        </w:rPr>
      </w:pPr>
    </w:p>
    <w:p>
      <w:pPr>
        <w:pStyle w:val="3"/>
        <w:numPr>
          <w:ilvl w:val="0"/>
          <w:numId w:val="5"/>
        </w:numPr>
        <w:ind w:firstLineChars="0"/>
      </w:pPr>
      <w:r>
        <w:rPr>
          <w:rFonts w:hint="eastAsia"/>
        </w:rPr>
        <w:t>支付成功  支付成功显示支付成功界面。如图3.2-7所示。</w:t>
      </w:r>
    </w:p>
    <w:p>
      <w:pPr>
        <w:rPr>
          <w:rFonts w:hint="eastAsia"/>
        </w:rPr>
      </w:pPr>
      <w:r>
        <w:rPr>
          <w:rFonts w:hint="eastAsia"/>
        </w:rPr>
        <w:drawing>
          <wp:inline distT="0" distB="0" distL="114300" distR="114300">
            <wp:extent cx="5257800" cy="650240"/>
            <wp:effectExtent l="0" t="0" r="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57800" cy="650240"/>
                    </a:xfrm>
                    <a:prstGeom prst="rect">
                      <a:avLst/>
                    </a:prstGeom>
                    <a:noFill/>
                    <a:ln>
                      <a:noFill/>
                    </a:ln>
                  </pic:spPr>
                </pic:pic>
              </a:graphicData>
            </a:graphic>
          </wp:inline>
        </w:drawing>
      </w:r>
    </w:p>
    <w:p>
      <w:pPr>
        <w:rPr>
          <w:rFonts w:hint="eastAsia"/>
        </w:rPr>
      </w:pPr>
      <w:r>
        <w:rPr>
          <w:rFonts w:hint="eastAsia"/>
        </w:rPr>
        <w:t xml:space="preserve">                  图3.2-7 支付成功页面跳转</w:t>
      </w:r>
    </w:p>
    <w:p>
      <w:pPr>
        <w:rPr>
          <w:rFonts w:hint="eastAsia"/>
        </w:rPr>
      </w:pPr>
    </w:p>
    <w:p>
      <w:pPr>
        <w:pStyle w:val="3"/>
        <w:numPr>
          <w:ilvl w:val="0"/>
          <w:numId w:val="5"/>
        </w:numPr>
        <w:ind w:firstLineChars="0"/>
        <w:jc w:val="left"/>
        <w:rPr>
          <w:rFonts w:hint="eastAsia"/>
        </w:rPr>
      </w:pPr>
      <w:r>
        <w:rPr>
          <w:rFonts w:hint="eastAsia"/>
        </w:rPr>
        <w:t>点击导航栏的“交易记录查询”按钮，可以查询具体的银行交易记录。如图3.2-8所示。点击记录栏的“明细”连接，可以查询具体的缴费项目信息。</w:t>
      </w:r>
      <w:r>
        <w:rPr>
          <w:lang/>
        </w:rPr>
        <w:drawing>
          <wp:inline distT="0" distB="0" distL="114300" distR="114300">
            <wp:extent cx="4871720" cy="2766695"/>
            <wp:effectExtent l="0" t="0" r="5080" b="1905"/>
            <wp:docPr id="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5"/>
                    <pic:cNvPicPr>
                      <a:picLocks noChangeAspect="1"/>
                    </pic:cNvPicPr>
                  </pic:nvPicPr>
                  <pic:blipFill>
                    <a:blip r:embed="rId14"/>
                    <a:stretch>
                      <a:fillRect/>
                    </a:stretch>
                  </pic:blipFill>
                  <pic:spPr>
                    <a:xfrm>
                      <a:off x="0" y="0"/>
                      <a:ext cx="4871720" cy="2766695"/>
                    </a:xfrm>
                    <a:prstGeom prst="rect">
                      <a:avLst/>
                    </a:prstGeom>
                    <a:noFill/>
                    <a:ln>
                      <a:noFill/>
                    </a:ln>
                  </pic:spPr>
                </pic:pic>
              </a:graphicData>
            </a:graphic>
          </wp:inline>
        </w:drawing>
      </w:r>
    </w:p>
    <w:p>
      <w:pPr>
        <w:pStyle w:val="3"/>
        <w:ind w:left="780" w:firstLine="0" w:firstLineChars="0"/>
        <w:jc w:val="center"/>
        <w:rPr>
          <w:rFonts w:hint="eastAsia"/>
        </w:rPr>
      </w:pPr>
      <w:r>
        <w:rPr>
          <w:rFonts w:hint="eastAsia"/>
        </w:rPr>
        <w:t>图3.2-8 交易记录查询</w:t>
      </w:r>
    </w:p>
    <w:p>
      <w:pPr>
        <w:rPr>
          <w:rFonts w:hint="eastAsia"/>
        </w:rPr>
      </w:pPr>
    </w:p>
    <w:p>
      <w:pPr>
        <w:rPr>
          <w:rFonts w:hint="eastAsia"/>
        </w:rPr>
      </w:pPr>
    </w:p>
    <w:p>
      <w:pPr>
        <w:pStyle w:val="2"/>
        <w:ind w:hanging="420"/>
      </w:pPr>
      <w:bookmarkStart w:id="0" w:name="_Toc428453700"/>
      <w:bookmarkStart w:id="1" w:name="_Toc429488314"/>
      <w:r>
        <w:rPr>
          <w:rFonts w:hint="eastAsia"/>
        </w:rPr>
        <w:t>注意事项</w:t>
      </w:r>
      <w:bookmarkEnd w:id="0"/>
      <w:bookmarkEnd w:id="1"/>
    </w:p>
    <w:p>
      <w:pPr>
        <w:pStyle w:val="3"/>
        <w:numPr>
          <w:ilvl w:val="0"/>
          <w:numId w:val="6"/>
        </w:numPr>
        <w:ind w:firstLineChars="0"/>
        <w:rPr>
          <w:color w:val="FF0000"/>
          <w:szCs w:val="21"/>
        </w:rPr>
      </w:pPr>
      <w:r>
        <w:rPr>
          <w:rFonts w:hint="eastAsia"/>
          <w:color w:val="FF0000"/>
          <w:szCs w:val="21"/>
        </w:rPr>
        <w:t>缴费时请通过浙江农林大学计财处网站链接进入或直接输入系统地址。请确认网站地址：</w:t>
      </w:r>
      <w:r>
        <w:rPr>
          <w:rStyle w:val="13"/>
        </w:rPr>
        <w:t xml:space="preserve">http://jccxysf.zafu.edu.cn/ </w:t>
      </w:r>
      <w:r>
        <w:rPr>
          <w:szCs w:val="21"/>
        </w:rPr>
        <w:t xml:space="preserve">  </w:t>
      </w:r>
    </w:p>
    <w:p>
      <w:pPr>
        <w:pStyle w:val="3"/>
        <w:numPr>
          <w:ilvl w:val="0"/>
          <w:numId w:val="6"/>
        </w:numPr>
        <w:ind w:firstLineChars="0"/>
        <w:rPr>
          <w:color w:val="FF0000"/>
          <w:szCs w:val="21"/>
        </w:rPr>
      </w:pPr>
      <w:r>
        <w:rPr>
          <w:rFonts w:hint="eastAsia"/>
          <w:color w:val="FF0000"/>
          <w:szCs w:val="21"/>
        </w:rPr>
        <w:t>通过建行缴费，请确认建行收银台网址开头：</w:t>
      </w:r>
      <w:r>
        <w:fldChar w:fldCharType="begin"/>
      </w:r>
      <w:r>
        <w:instrText xml:space="preserve"> HYPERLINK "https://ib</w:instrText>
      </w:r>
      <w:r>
        <w:rPr>
          <w:rFonts w:hint="eastAsia"/>
        </w:rPr>
        <w:instrText xml:space="preserve">sbjstar.ccb.com.cn</w:instrText>
      </w:r>
      <w:r>
        <w:instrText xml:space="preserve">" </w:instrText>
      </w:r>
      <w:r>
        <w:fldChar w:fldCharType="separate"/>
      </w:r>
      <w:r>
        <w:rPr>
          <w:rStyle w:val="13"/>
        </w:rPr>
        <w:t>https://ib</w:t>
      </w:r>
      <w:r>
        <w:rPr>
          <w:rStyle w:val="13"/>
          <w:rFonts w:hint="eastAsia"/>
        </w:rPr>
        <w:t>sbjstar.ccb.com.cn</w:t>
      </w:r>
      <w:r>
        <w:fldChar w:fldCharType="end"/>
      </w:r>
      <w:r>
        <w:rPr>
          <w:b/>
          <w:color w:val="FF0000"/>
        </w:rPr>
        <w:t xml:space="preserve"> </w:t>
      </w:r>
      <w:r>
        <w:rPr>
          <w:rFonts w:hint="eastAsia"/>
          <w:color w:val="FF0000"/>
          <w:szCs w:val="21"/>
        </w:rPr>
        <w:t>，</w:t>
      </w:r>
      <w:r>
        <w:rPr>
          <w:rFonts w:hint="eastAsia"/>
          <w:color w:val="FF0000"/>
        </w:rPr>
        <w:t>请确认收款方名称</w:t>
      </w:r>
      <w:r>
        <w:rPr>
          <w:rFonts w:hint="eastAsia"/>
          <w:b/>
          <w:color w:val="FF0000"/>
        </w:rPr>
        <w:t>：</w:t>
      </w:r>
      <w:r>
        <w:rPr>
          <w:b/>
          <w:color w:val="FF0000"/>
        </w:rPr>
        <w:t>浙江农林大学</w:t>
      </w:r>
    </w:p>
    <w:p>
      <w:pPr>
        <w:pStyle w:val="3"/>
        <w:numPr>
          <w:ilvl w:val="0"/>
          <w:numId w:val="6"/>
        </w:numPr>
        <w:ind w:firstLineChars="0"/>
        <w:rPr>
          <w:color w:val="FF0000"/>
          <w:szCs w:val="21"/>
        </w:rPr>
      </w:pPr>
      <w:r>
        <w:rPr>
          <w:rFonts w:hint="eastAsia"/>
          <w:color w:val="FF0000"/>
          <w:szCs w:val="21"/>
        </w:rPr>
        <w:t>银行交易完成后，如缴费失败，请到网上银行查询银行卡是否已扣款，如已扣款切勿重复缴费，学校会在1-2个工作日恢复此交易</w:t>
      </w:r>
    </w:p>
    <w:p>
      <w:pPr>
        <w:pStyle w:val="3"/>
        <w:numPr>
          <w:ilvl w:val="0"/>
          <w:numId w:val="6"/>
        </w:numPr>
        <w:ind w:firstLineChars="0"/>
        <w:rPr>
          <w:color w:val="FF0000"/>
          <w:szCs w:val="21"/>
        </w:rPr>
      </w:pPr>
      <w:r>
        <w:rPr>
          <w:rFonts w:hint="eastAsia"/>
          <w:color w:val="FF0000"/>
          <w:szCs w:val="21"/>
        </w:rPr>
        <w:t>除了银行缴费界面外，本系统不需要学生输入银行信息，银行缴费系统也不会要求学生升级银行密码等。请勿将个人银行信息透漏给他人。</w:t>
      </w:r>
    </w:p>
    <w:p>
      <w:pPr>
        <w:rPr>
          <w:rFonts w:hint="eastAsia"/>
        </w:rPr>
      </w:pPr>
    </w:p>
    <w:sectPr>
      <w:pgSz w:w="11906" w:h="16838"/>
      <w:pgMar w:top="1043"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宋体">
    <w:panose1 w:val="02010600030101010101"/>
    <w:charset w:val="86"/>
    <w:family w:val="auto"/>
    <w:pitch w:val="default"/>
    <w:sig w:usb0="00000203" w:usb1="288F0000" w:usb2="0000000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F80AA7"/>
    <w:multiLevelType w:val="multilevel"/>
    <w:tmpl w:val="23F80A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72D256C"/>
    <w:multiLevelType w:val="multilevel"/>
    <w:tmpl w:val="272D256C"/>
    <w:lvl w:ilvl="0" w:tentative="0">
      <w:start w:val="1"/>
      <w:numFmt w:val="decimal"/>
      <w:pStyle w:val="2"/>
      <w:lvlText w:val="%1."/>
      <w:lvlJc w:val="left"/>
      <w:pPr>
        <w:ind w:left="420" w:hanging="420"/>
      </w:pPr>
      <w:rPr>
        <w:rFonts w:hint="eastAsia"/>
      </w:rPr>
    </w:lvl>
    <w:lvl w:ilvl="1" w:tentative="0">
      <w:start w:val="1"/>
      <w:numFmt w:val="decimal"/>
      <w:isLgl/>
      <w:lvlText w:val="%1.%2"/>
      <w:lvlJc w:val="left"/>
      <w:pPr>
        <w:ind w:left="405" w:hanging="40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315E231A"/>
    <w:multiLevelType w:val="multilevel"/>
    <w:tmpl w:val="315E231A"/>
    <w:lvl w:ilvl="0" w:tentative="0">
      <w:start w:val="1"/>
      <w:numFmt w:val="decimal"/>
      <w:pStyle w:val="4"/>
      <w:lvlText w:val="3.%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318645F"/>
    <w:multiLevelType w:val="multilevel"/>
    <w:tmpl w:val="3318645F"/>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11F65AF"/>
    <w:multiLevelType w:val="multilevel"/>
    <w:tmpl w:val="511F65AF"/>
    <w:lvl w:ilvl="0" w:tentative="0">
      <w:start w:val="1"/>
      <w:numFmt w:val="decimal"/>
      <w:pStyle w:val="5"/>
      <w:suff w:val="space"/>
      <w:lvlText w:val="3.2.%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397C0D"/>
    <w:multiLevelType w:val="multilevel"/>
    <w:tmpl w:val="70397C0D"/>
    <w:lvl w:ilvl="0" w:tentative="0">
      <w:start w:val="1"/>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C8F"/>
    <w:rsid w:val="000008CC"/>
    <w:rsid w:val="0000178B"/>
    <w:rsid w:val="00012370"/>
    <w:rsid w:val="00024EAA"/>
    <w:rsid w:val="00032E59"/>
    <w:rsid w:val="00040201"/>
    <w:rsid w:val="000601DD"/>
    <w:rsid w:val="000645C3"/>
    <w:rsid w:val="00065207"/>
    <w:rsid w:val="00067D6D"/>
    <w:rsid w:val="00072A17"/>
    <w:rsid w:val="000744A5"/>
    <w:rsid w:val="000808D8"/>
    <w:rsid w:val="000819E2"/>
    <w:rsid w:val="00085228"/>
    <w:rsid w:val="00086C9D"/>
    <w:rsid w:val="00090DD7"/>
    <w:rsid w:val="000925DD"/>
    <w:rsid w:val="00094E10"/>
    <w:rsid w:val="00095826"/>
    <w:rsid w:val="00096C44"/>
    <w:rsid w:val="000A6D45"/>
    <w:rsid w:val="000B345A"/>
    <w:rsid w:val="000B37E9"/>
    <w:rsid w:val="000B3894"/>
    <w:rsid w:val="000B75D4"/>
    <w:rsid w:val="000C6251"/>
    <w:rsid w:val="000D2A20"/>
    <w:rsid w:val="000D2B2B"/>
    <w:rsid w:val="000D2C70"/>
    <w:rsid w:val="000D31B1"/>
    <w:rsid w:val="000D44F5"/>
    <w:rsid w:val="000E12C8"/>
    <w:rsid w:val="000E460F"/>
    <w:rsid w:val="000F38EA"/>
    <w:rsid w:val="000F530C"/>
    <w:rsid w:val="001076B9"/>
    <w:rsid w:val="00112930"/>
    <w:rsid w:val="00115002"/>
    <w:rsid w:val="001207A0"/>
    <w:rsid w:val="00122217"/>
    <w:rsid w:val="00131EA1"/>
    <w:rsid w:val="00146078"/>
    <w:rsid w:val="00152035"/>
    <w:rsid w:val="0015314C"/>
    <w:rsid w:val="00166BD1"/>
    <w:rsid w:val="0017405F"/>
    <w:rsid w:val="001741F1"/>
    <w:rsid w:val="00175547"/>
    <w:rsid w:val="00176B95"/>
    <w:rsid w:val="001825BF"/>
    <w:rsid w:val="001848AD"/>
    <w:rsid w:val="00185FF0"/>
    <w:rsid w:val="001872B8"/>
    <w:rsid w:val="0019587A"/>
    <w:rsid w:val="00197C8F"/>
    <w:rsid w:val="001A6397"/>
    <w:rsid w:val="001A64E1"/>
    <w:rsid w:val="001B2613"/>
    <w:rsid w:val="001B414F"/>
    <w:rsid w:val="001B4E2D"/>
    <w:rsid w:val="001C3B97"/>
    <w:rsid w:val="001C63EB"/>
    <w:rsid w:val="001C6AB3"/>
    <w:rsid w:val="001D6D7E"/>
    <w:rsid w:val="001D7FD3"/>
    <w:rsid w:val="001F1888"/>
    <w:rsid w:val="001F2F90"/>
    <w:rsid w:val="001F5FD3"/>
    <w:rsid w:val="00205EB1"/>
    <w:rsid w:val="00206B71"/>
    <w:rsid w:val="00207D48"/>
    <w:rsid w:val="0023497E"/>
    <w:rsid w:val="00235728"/>
    <w:rsid w:val="00243AFF"/>
    <w:rsid w:val="00255494"/>
    <w:rsid w:val="00262D12"/>
    <w:rsid w:val="00262FF0"/>
    <w:rsid w:val="00263BE7"/>
    <w:rsid w:val="00267B10"/>
    <w:rsid w:val="00270CD4"/>
    <w:rsid w:val="00271EB7"/>
    <w:rsid w:val="00276B71"/>
    <w:rsid w:val="00276BE1"/>
    <w:rsid w:val="00277872"/>
    <w:rsid w:val="00277974"/>
    <w:rsid w:val="00281EA6"/>
    <w:rsid w:val="00283547"/>
    <w:rsid w:val="0028461B"/>
    <w:rsid w:val="00284CB5"/>
    <w:rsid w:val="00284E04"/>
    <w:rsid w:val="00291E9D"/>
    <w:rsid w:val="002A2CCB"/>
    <w:rsid w:val="002B0F96"/>
    <w:rsid w:val="002B5195"/>
    <w:rsid w:val="002C2B2C"/>
    <w:rsid w:val="002C3400"/>
    <w:rsid w:val="002D126F"/>
    <w:rsid w:val="002D24A8"/>
    <w:rsid w:val="002D3880"/>
    <w:rsid w:val="002D497B"/>
    <w:rsid w:val="002E1ADF"/>
    <w:rsid w:val="002E26E4"/>
    <w:rsid w:val="002E5A91"/>
    <w:rsid w:val="002F3542"/>
    <w:rsid w:val="002F3B53"/>
    <w:rsid w:val="002F7C2F"/>
    <w:rsid w:val="00306119"/>
    <w:rsid w:val="003158B7"/>
    <w:rsid w:val="0032031F"/>
    <w:rsid w:val="003256AB"/>
    <w:rsid w:val="00326C38"/>
    <w:rsid w:val="00337664"/>
    <w:rsid w:val="003467BC"/>
    <w:rsid w:val="003649A5"/>
    <w:rsid w:val="003653E0"/>
    <w:rsid w:val="00367379"/>
    <w:rsid w:val="00367AC3"/>
    <w:rsid w:val="00375398"/>
    <w:rsid w:val="00377292"/>
    <w:rsid w:val="00385D11"/>
    <w:rsid w:val="003902EF"/>
    <w:rsid w:val="003911AD"/>
    <w:rsid w:val="00392355"/>
    <w:rsid w:val="00394116"/>
    <w:rsid w:val="00395F65"/>
    <w:rsid w:val="003A4EAC"/>
    <w:rsid w:val="003B0652"/>
    <w:rsid w:val="003C0CDD"/>
    <w:rsid w:val="003C1D7F"/>
    <w:rsid w:val="003C3E11"/>
    <w:rsid w:val="003C4307"/>
    <w:rsid w:val="003C6657"/>
    <w:rsid w:val="003C78CE"/>
    <w:rsid w:val="003D54AC"/>
    <w:rsid w:val="0040063D"/>
    <w:rsid w:val="00406C95"/>
    <w:rsid w:val="00407409"/>
    <w:rsid w:val="004076C8"/>
    <w:rsid w:val="004109F4"/>
    <w:rsid w:val="0042443A"/>
    <w:rsid w:val="00427DEC"/>
    <w:rsid w:val="00431B36"/>
    <w:rsid w:val="00433BA4"/>
    <w:rsid w:val="004366DE"/>
    <w:rsid w:val="0044220E"/>
    <w:rsid w:val="0044504E"/>
    <w:rsid w:val="00446773"/>
    <w:rsid w:val="00450C8C"/>
    <w:rsid w:val="00451F17"/>
    <w:rsid w:val="00456048"/>
    <w:rsid w:val="00456711"/>
    <w:rsid w:val="00457E24"/>
    <w:rsid w:val="00480AA6"/>
    <w:rsid w:val="00482BF9"/>
    <w:rsid w:val="0049597C"/>
    <w:rsid w:val="004A2F01"/>
    <w:rsid w:val="004A41A2"/>
    <w:rsid w:val="004B39B1"/>
    <w:rsid w:val="004B6A03"/>
    <w:rsid w:val="004B7015"/>
    <w:rsid w:val="004C16E6"/>
    <w:rsid w:val="004D1821"/>
    <w:rsid w:val="004D23A4"/>
    <w:rsid w:val="004D2441"/>
    <w:rsid w:val="004D5C77"/>
    <w:rsid w:val="004D6710"/>
    <w:rsid w:val="004E2DC1"/>
    <w:rsid w:val="004E4D12"/>
    <w:rsid w:val="004E58B0"/>
    <w:rsid w:val="004F11EF"/>
    <w:rsid w:val="004F13C6"/>
    <w:rsid w:val="00501B3E"/>
    <w:rsid w:val="00501DA4"/>
    <w:rsid w:val="00506F7D"/>
    <w:rsid w:val="005123F1"/>
    <w:rsid w:val="00513502"/>
    <w:rsid w:val="0051471E"/>
    <w:rsid w:val="00527ACF"/>
    <w:rsid w:val="00532E50"/>
    <w:rsid w:val="0053303B"/>
    <w:rsid w:val="00540933"/>
    <w:rsid w:val="00540A62"/>
    <w:rsid w:val="00541D20"/>
    <w:rsid w:val="00543D74"/>
    <w:rsid w:val="00555AD6"/>
    <w:rsid w:val="00564A7B"/>
    <w:rsid w:val="00577714"/>
    <w:rsid w:val="00581DC3"/>
    <w:rsid w:val="00582A6B"/>
    <w:rsid w:val="00585C0F"/>
    <w:rsid w:val="005920BC"/>
    <w:rsid w:val="00593D48"/>
    <w:rsid w:val="005A2F9F"/>
    <w:rsid w:val="005A7096"/>
    <w:rsid w:val="005B79C0"/>
    <w:rsid w:val="005E1E14"/>
    <w:rsid w:val="005E3E25"/>
    <w:rsid w:val="005F359B"/>
    <w:rsid w:val="005F76D4"/>
    <w:rsid w:val="00602BAF"/>
    <w:rsid w:val="00605F1E"/>
    <w:rsid w:val="006128F9"/>
    <w:rsid w:val="00613DB3"/>
    <w:rsid w:val="00621908"/>
    <w:rsid w:val="00622392"/>
    <w:rsid w:val="00630571"/>
    <w:rsid w:val="0063359F"/>
    <w:rsid w:val="00633CB0"/>
    <w:rsid w:val="006427F4"/>
    <w:rsid w:val="00644DC1"/>
    <w:rsid w:val="00645DA5"/>
    <w:rsid w:val="0064643B"/>
    <w:rsid w:val="00651845"/>
    <w:rsid w:val="00654402"/>
    <w:rsid w:val="006568EA"/>
    <w:rsid w:val="00664CE1"/>
    <w:rsid w:val="0067310F"/>
    <w:rsid w:val="00675B1C"/>
    <w:rsid w:val="006771E0"/>
    <w:rsid w:val="00683E2E"/>
    <w:rsid w:val="00684731"/>
    <w:rsid w:val="00691602"/>
    <w:rsid w:val="006963E3"/>
    <w:rsid w:val="006A1B27"/>
    <w:rsid w:val="006A4148"/>
    <w:rsid w:val="006C7326"/>
    <w:rsid w:val="006D5D26"/>
    <w:rsid w:val="006D770B"/>
    <w:rsid w:val="006E29B1"/>
    <w:rsid w:val="006E460D"/>
    <w:rsid w:val="006F28FB"/>
    <w:rsid w:val="006F4D10"/>
    <w:rsid w:val="006F5BA6"/>
    <w:rsid w:val="006F74B7"/>
    <w:rsid w:val="0070024B"/>
    <w:rsid w:val="007024C2"/>
    <w:rsid w:val="00702E62"/>
    <w:rsid w:val="00710369"/>
    <w:rsid w:val="00723EA1"/>
    <w:rsid w:val="00724725"/>
    <w:rsid w:val="007323FA"/>
    <w:rsid w:val="00733862"/>
    <w:rsid w:val="0074055F"/>
    <w:rsid w:val="00742F8E"/>
    <w:rsid w:val="007506B4"/>
    <w:rsid w:val="007519B2"/>
    <w:rsid w:val="00770B1C"/>
    <w:rsid w:val="00781461"/>
    <w:rsid w:val="007904A1"/>
    <w:rsid w:val="00790A54"/>
    <w:rsid w:val="00791EBD"/>
    <w:rsid w:val="00794F27"/>
    <w:rsid w:val="0079693B"/>
    <w:rsid w:val="007A43A2"/>
    <w:rsid w:val="007A45B3"/>
    <w:rsid w:val="007B56AE"/>
    <w:rsid w:val="007B7782"/>
    <w:rsid w:val="007B7D98"/>
    <w:rsid w:val="007C61A4"/>
    <w:rsid w:val="007D1F91"/>
    <w:rsid w:val="007D2C2E"/>
    <w:rsid w:val="007E0649"/>
    <w:rsid w:val="007E0F8A"/>
    <w:rsid w:val="007E1F3F"/>
    <w:rsid w:val="007F3584"/>
    <w:rsid w:val="007F3D81"/>
    <w:rsid w:val="007F5518"/>
    <w:rsid w:val="007F6208"/>
    <w:rsid w:val="0080142E"/>
    <w:rsid w:val="00805D50"/>
    <w:rsid w:val="00810B32"/>
    <w:rsid w:val="008115DF"/>
    <w:rsid w:val="0081508B"/>
    <w:rsid w:val="00816D09"/>
    <w:rsid w:val="00820A83"/>
    <w:rsid w:val="008305CC"/>
    <w:rsid w:val="0083554B"/>
    <w:rsid w:val="0083636D"/>
    <w:rsid w:val="00836842"/>
    <w:rsid w:val="00837A1C"/>
    <w:rsid w:val="00841597"/>
    <w:rsid w:val="008470C6"/>
    <w:rsid w:val="00847FBB"/>
    <w:rsid w:val="008501F0"/>
    <w:rsid w:val="008503CC"/>
    <w:rsid w:val="0085079F"/>
    <w:rsid w:val="00851CFF"/>
    <w:rsid w:val="008550EE"/>
    <w:rsid w:val="00864318"/>
    <w:rsid w:val="0086488D"/>
    <w:rsid w:val="00866CFB"/>
    <w:rsid w:val="00867323"/>
    <w:rsid w:val="00880684"/>
    <w:rsid w:val="008865DF"/>
    <w:rsid w:val="00891330"/>
    <w:rsid w:val="00897E2F"/>
    <w:rsid w:val="008B04CA"/>
    <w:rsid w:val="008B1BFF"/>
    <w:rsid w:val="008B5B03"/>
    <w:rsid w:val="008B62C6"/>
    <w:rsid w:val="008C1156"/>
    <w:rsid w:val="008C2B3F"/>
    <w:rsid w:val="008C6CA2"/>
    <w:rsid w:val="008C73D5"/>
    <w:rsid w:val="008D48D3"/>
    <w:rsid w:val="008D6721"/>
    <w:rsid w:val="008E4FFA"/>
    <w:rsid w:val="00901334"/>
    <w:rsid w:val="009102CB"/>
    <w:rsid w:val="00912AB7"/>
    <w:rsid w:val="00923EF2"/>
    <w:rsid w:val="00927818"/>
    <w:rsid w:val="009311B3"/>
    <w:rsid w:val="00931FD6"/>
    <w:rsid w:val="009351F0"/>
    <w:rsid w:val="00935BEC"/>
    <w:rsid w:val="00943A55"/>
    <w:rsid w:val="00944CC2"/>
    <w:rsid w:val="00950387"/>
    <w:rsid w:val="00953ED0"/>
    <w:rsid w:val="0095407F"/>
    <w:rsid w:val="0095747A"/>
    <w:rsid w:val="00962E4E"/>
    <w:rsid w:val="0097179F"/>
    <w:rsid w:val="009734AF"/>
    <w:rsid w:val="009750FD"/>
    <w:rsid w:val="009833D6"/>
    <w:rsid w:val="00987D42"/>
    <w:rsid w:val="0099168C"/>
    <w:rsid w:val="00996F76"/>
    <w:rsid w:val="009A006B"/>
    <w:rsid w:val="009A4669"/>
    <w:rsid w:val="009A4D6D"/>
    <w:rsid w:val="009B3098"/>
    <w:rsid w:val="009B3AE1"/>
    <w:rsid w:val="009D3BBC"/>
    <w:rsid w:val="009D70C3"/>
    <w:rsid w:val="009F4905"/>
    <w:rsid w:val="00A0164B"/>
    <w:rsid w:val="00A10D38"/>
    <w:rsid w:val="00A15AB5"/>
    <w:rsid w:val="00A16253"/>
    <w:rsid w:val="00A16C94"/>
    <w:rsid w:val="00A352BD"/>
    <w:rsid w:val="00A35CA3"/>
    <w:rsid w:val="00A4289D"/>
    <w:rsid w:val="00A53999"/>
    <w:rsid w:val="00A55186"/>
    <w:rsid w:val="00A60629"/>
    <w:rsid w:val="00A61251"/>
    <w:rsid w:val="00A62137"/>
    <w:rsid w:val="00A6333F"/>
    <w:rsid w:val="00A6543F"/>
    <w:rsid w:val="00A66271"/>
    <w:rsid w:val="00A671C2"/>
    <w:rsid w:val="00A676B8"/>
    <w:rsid w:val="00A7372A"/>
    <w:rsid w:val="00A77C3D"/>
    <w:rsid w:val="00A85F44"/>
    <w:rsid w:val="00A92CFB"/>
    <w:rsid w:val="00AA2BE1"/>
    <w:rsid w:val="00AA7B92"/>
    <w:rsid w:val="00AB0F3F"/>
    <w:rsid w:val="00AB5618"/>
    <w:rsid w:val="00AC6952"/>
    <w:rsid w:val="00AD22DD"/>
    <w:rsid w:val="00AD40E2"/>
    <w:rsid w:val="00AE5E5A"/>
    <w:rsid w:val="00AF2950"/>
    <w:rsid w:val="00AF7D3D"/>
    <w:rsid w:val="00B00E49"/>
    <w:rsid w:val="00B01BB9"/>
    <w:rsid w:val="00B0443C"/>
    <w:rsid w:val="00B04921"/>
    <w:rsid w:val="00B05ED8"/>
    <w:rsid w:val="00B06805"/>
    <w:rsid w:val="00B12171"/>
    <w:rsid w:val="00B12D24"/>
    <w:rsid w:val="00B13C61"/>
    <w:rsid w:val="00B14BF5"/>
    <w:rsid w:val="00B17589"/>
    <w:rsid w:val="00B22813"/>
    <w:rsid w:val="00B273D6"/>
    <w:rsid w:val="00B31C83"/>
    <w:rsid w:val="00B31FD3"/>
    <w:rsid w:val="00B321BA"/>
    <w:rsid w:val="00B33F99"/>
    <w:rsid w:val="00B35AB2"/>
    <w:rsid w:val="00B3759D"/>
    <w:rsid w:val="00B47B36"/>
    <w:rsid w:val="00B50127"/>
    <w:rsid w:val="00B5087B"/>
    <w:rsid w:val="00B53DA7"/>
    <w:rsid w:val="00B64B4B"/>
    <w:rsid w:val="00B66565"/>
    <w:rsid w:val="00B67041"/>
    <w:rsid w:val="00B67AC0"/>
    <w:rsid w:val="00B724F0"/>
    <w:rsid w:val="00B73248"/>
    <w:rsid w:val="00B75F1D"/>
    <w:rsid w:val="00B87F18"/>
    <w:rsid w:val="00B90C10"/>
    <w:rsid w:val="00B97226"/>
    <w:rsid w:val="00B976AC"/>
    <w:rsid w:val="00BB0309"/>
    <w:rsid w:val="00BB2F78"/>
    <w:rsid w:val="00BB416B"/>
    <w:rsid w:val="00BC566A"/>
    <w:rsid w:val="00BC7491"/>
    <w:rsid w:val="00BC750C"/>
    <w:rsid w:val="00BD3174"/>
    <w:rsid w:val="00BD3D60"/>
    <w:rsid w:val="00BD7E83"/>
    <w:rsid w:val="00BE4151"/>
    <w:rsid w:val="00BE4BB7"/>
    <w:rsid w:val="00BE4EAC"/>
    <w:rsid w:val="00BF090C"/>
    <w:rsid w:val="00BF4C23"/>
    <w:rsid w:val="00BF6437"/>
    <w:rsid w:val="00C03439"/>
    <w:rsid w:val="00C05FAB"/>
    <w:rsid w:val="00C13F3F"/>
    <w:rsid w:val="00C15F40"/>
    <w:rsid w:val="00C17FFE"/>
    <w:rsid w:val="00C23267"/>
    <w:rsid w:val="00C251E6"/>
    <w:rsid w:val="00C27D36"/>
    <w:rsid w:val="00C3196F"/>
    <w:rsid w:val="00C3540B"/>
    <w:rsid w:val="00C411AD"/>
    <w:rsid w:val="00C42C4F"/>
    <w:rsid w:val="00C4372D"/>
    <w:rsid w:val="00C45D33"/>
    <w:rsid w:val="00C55E09"/>
    <w:rsid w:val="00C5626C"/>
    <w:rsid w:val="00C57A47"/>
    <w:rsid w:val="00C61CB7"/>
    <w:rsid w:val="00C6377D"/>
    <w:rsid w:val="00C66E50"/>
    <w:rsid w:val="00C70F65"/>
    <w:rsid w:val="00C713E5"/>
    <w:rsid w:val="00CB263A"/>
    <w:rsid w:val="00CB3341"/>
    <w:rsid w:val="00CC2535"/>
    <w:rsid w:val="00CC38C6"/>
    <w:rsid w:val="00CD235E"/>
    <w:rsid w:val="00CD2D2E"/>
    <w:rsid w:val="00CD7D75"/>
    <w:rsid w:val="00CE43E7"/>
    <w:rsid w:val="00CF2272"/>
    <w:rsid w:val="00CF4483"/>
    <w:rsid w:val="00CF5C64"/>
    <w:rsid w:val="00CF7D9B"/>
    <w:rsid w:val="00D0311B"/>
    <w:rsid w:val="00D0662A"/>
    <w:rsid w:val="00D06BCD"/>
    <w:rsid w:val="00D10F89"/>
    <w:rsid w:val="00D15181"/>
    <w:rsid w:val="00D177BF"/>
    <w:rsid w:val="00D31D14"/>
    <w:rsid w:val="00D359F9"/>
    <w:rsid w:val="00D368D2"/>
    <w:rsid w:val="00D3725C"/>
    <w:rsid w:val="00D4439D"/>
    <w:rsid w:val="00D55920"/>
    <w:rsid w:val="00D61204"/>
    <w:rsid w:val="00D65EC9"/>
    <w:rsid w:val="00D67714"/>
    <w:rsid w:val="00D710EF"/>
    <w:rsid w:val="00D844CB"/>
    <w:rsid w:val="00D87DB7"/>
    <w:rsid w:val="00D954F6"/>
    <w:rsid w:val="00DA00CA"/>
    <w:rsid w:val="00DB786F"/>
    <w:rsid w:val="00DC4490"/>
    <w:rsid w:val="00DD3636"/>
    <w:rsid w:val="00DD492F"/>
    <w:rsid w:val="00DE4EFC"/>
    <w:rsid w:val="00DE7C19"/>
    <w:rsid w:val="00DF5C24"/>
    <w:rsid w:val="00E04D12"/>
    <w:rsid w:val="00E05144"/>
    <w:rsid w:val="00E1387D"/>
    <w:rsid w:val="00E178DB"/>
    <w:rsid w:val="00E21B29"/>
    <w:rsid w:val="00E22590"/>
    <w:rsid w:val="00E23EAB"/>
    <w:rsid w:val="00E36476"/>
    <w:rsid w:val="00E4041B"/>
    <w:rsid w:val="00E43AB8"/>
    <w:rsid w:val="00E458C8"/>
    <w:rsid w:val="00E46C6E"/>
    <w:rsid w:val="00E57DA9"/>
    <w:rsid w:val="00E57DB7"/>
    <w:rsid w:val="00E634AC"/>
    <w:rsid w:val="00E6407E"/>
    <w:rsid w:val="00E645F9"/>
    <w:rsid w:val="00E727E2"/>
    <w:rsid w:val="00E75494"/>
    <w:rsid w:val="00E77BE7"/>
    <w:rsid w:val="00E8218B"/>
    <w:rsid w:val="00E874BA"/>
    <w:rsid w:val="00E927B1"/>
    <w:rsid w:val="00E96169"/>
    <w:rsid w:val="00EB040C"/>
    <w:rsid w:val="00EB25FF"/>
    <w:rsid w:val="00EB6A40"/>
    <w:rsid w:val="00EB6EDB"/>
    <w:rsid w:val="00EC4304"/>
    <w:rsid w:val="00ED3A82"/>
    <w:rsid w:val="00ED4958"/>
    <w:rsid w:val="00ED4E79"/>
    <w:rsid w:val="00ED5081"/>
    <w:rsid w:val="00EE21C9"/>
    <w:rsid w:val="00EE647B"/>
    <w:rsid w:val="00EE6AD3"/>
    <w:rsid w:val="00EF04B5"/>
    <w:rsid w:val="00EF0D5E"/>
    <w:rsid w:val="00EF6925"/>
    <w:rsid w:val="00EF69A8"/>
    <w:rsid w:val="00F0051F"/>
    <w:rsid w:val="00F156C2"/>
    <w:rsid w:val="00F1663A"/>
    <w:rsid w:val="00F176AE"/>
    <w:rsid w:val="00F22AA4"/>
    <w:rsid w:val="00F242F5"/>
    <w:rsid w:val="00F26377"/>
    <w:rsid w:val="00F35B5C"/>
    <w:rsid w:val="00F3675D"/>
    <w:rsid w:val="00F44E26"/>
    <w:rsid w:val="00F5748B"/>
    <w:rsid w:val="00F65291"/>
    <w:rsid w:val="00F75CB5"/>
    <w:rsid w:val="00F82200"/>
    <w:rsid w:val="00F83C7A"/>
    <w:rsid w:val="00F85542"/>
    <w:rsid w:val="00F8763A"/>
    <w:rsid w:val="00F909AA"/>
    <w:rsid w:val="00F90B39"/>
    <w:rsid w:val="00F912D4"/>
    <w:rsid w:val="00F92A8C"/>
    <w:rsid w:val="00F9497D"/>
    <w:rsid w:val="00FA2D9A"/>
    <w:rsid w:val="00FB22B7"/>
    <w:rsid w:val="00FB282A"/>
    <w:rsid w:val="00FB5F33"/>
    <w:rsid w:val="00FB6911"/>
    <w:rsid w:val="00FC5FF0"/>
    <w:rsid w:val="00FD09D0"/>
    <w:rsid w:val="00FE01EA"/>
    <w:rsid w:val="00FE2403"/>
    <w:rsid w:val="00FE34FA"/>
    <w:rsid w:val="00FE4454"/>
    <w:rsid w:val="00FF332C"/>
    <w:rsid w:val="00FF5D2E"/>
    <w:rsid w:val="1F97636E"/>
    <w:rsid w:val="42110035"/>
    <w:rsid w:val="429800C8"/>
    <w:rsid w:val="48011EAC"/>
    <w:rsid w:val="51E90F9C"/>
    <w:rsid w:val="602B02A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3"/>
    <w:next w:val="1"/>
    <w:link w:val="14"/>
    <w:qFormat/>
    <w:uiPriority w:val="9"/>
    <w:pPr>
      <w:numPr>
        <w:ilvl w:val="0"/>
        <w:numId w:val="1"/>
      </w:numPr>
      <w:ind w:firstLine="0" w:firstLineChars="0"/>
      <w:outlineLvl w:val="0"/>
    </w:pPr>
    <w:rPr>
      <w:rFonts w:cs="Times New Roman"/>
      <w:b/>
      <w:kern w:val="0"/>
      <w:sz w:val="28"/>
      <w:szCs w:val="28"/>
    </w:rPr>
  </w:style>
  <w:style w:type="paragraph" w:styleId="4">
    <w:name w:val="heading 2"/>
    <w:basedOn w:val="3"/>
    <w:next w:val="1"/>
    <w:link w:val="15"/>
    <w:unhideWhenUsed/>
    <w:qFormat/>
    <w:uiPriority w:val="9"/>
    <w:pPr>
      <w:numPr>
        <w:ilvl w:val="0"/>
        <w:numId w:val="2"/>
      </w:numPr>
      <w:ind w:firstLine="0" w:firstLineChars="0"/>
      <w:outlineLvl w:val="1"/>
    </w:pPr>
    <w:rPr>
      <w:rFonts w:cs="Times New Roman"/>
      <w:b/>
      <w:kern w:val="0"/>
      <w:sz w:val="24"/>
      <w:szCs w:val="24"/>
    </w:rPr>
  </w:style>
  <w:style w:type="paragraph" w:styleId="5">
    <w:name w:val="heading 3"/>
    <w:basedOn w:val="3"/>
    <w:next w:val="1"/>
    <w:link w:val="16"/>
    <w:unhideWhenUsed/>
    <w:qFormat/>
    <w:uiPriority w:val="9"/>
    <w:pPr>
      <w:numPr>
        <w:ilvl w:val="0"/>
        <w:numId w:val="3"/>
      </w:numPr>
      <w:ind w:firstLine="0" w:firstLineChars="0"/>
      <w:outlineLvl w:val="2"/>
    </w:pPr>
    <w:rPr>
      <w:rFonts w:cs="Times New Roman"/>
      <w:b/>
      <w:kern w:val="0"/>
      <w:sz w:val="20"/>
      <w:szCs w:val="21"/>
    </w:rPr>
  </w:style>
  <w:style w:type="character" w:default="1" w:styleId="11">
    <w:name w:val="Default Paragraph Font"/>
    <w:unhideWhenUsed/>
    <w:uiPriority w:val="1"/>
  </w:style>
  <w:style w:type="table" w:default="1" w:styleId="10">
    <w:name w:val="Normal Table"/>
    <w:unhideWhenUsed/>
    <w:qFormat/>
    <w:uiPriority w:val="99"/>
    <w:tblPr>
      <w:tblStyle w:val="10"/>
      <w:tblCellMar>
        <w:top w:w="0" w:type="dxa"/>
        <w:left w:w="108" w:type="dxa"/>
        <w:bottom w:w="0" w:type="dxa"/>
        <w:right w:w="108" w:type="dxa"/>
      </w:tblCellMar>
    </w:tblPr>
  </w:style>
  <w:style w:type="paragraph" w:styleId="3">
    <w:name w:val="List Paragraph"/>
    <w:basedOn w:val="1"/>
    <w:qFormat/>
    <w:uiPriority w:val="34"/>
    <w:pPr>
      <w:ind w:firstLine="420" w:firstLineChars="200"/>
    </w:pPr>
  </w:style>
  <w:style w:type="paragraph" w:styleId="6">
    <w:name w:val="Document Map"/>
    <w:basedOn w:val="1"/>
    <w:link w:val="17"/>
    <w:unhideWhenUsed/>
    <w:uiPriority w:val="99"/>
    <w:rPr>
      <w:rFonts w:ascii="Calibri Light" w:eastAsia="Calibri Light" w:cs="Times New Roman"/>
      <w:kern w:val="0"/>
      <w:sz w:val="18"/>
      <w:szCs w:val="18"/>
    </w:rPr>
  </w:style>
  <w:style w:type="paragraph" w:styleId="7">
    <w:name w:val="Balloon Text"/>
    <w:basedOn w:val="1"/>
    <w:link w:val="18"/>
    <w:unhideWhenUsed/>
    <w:uiPriority w:val="99"/>
    <w:rPr>
      <w:rFonts w:cs="Times New Roman"/>
      <w:kern w:val="0"/>
      <w:sz w:val="18"/>
      <w:szCs w:val="18"/>
    </w:rPr>
  </w:style>
  <w:style w:type="paragraph" w:styleId="8">
    <w:name w:val="footer"/>
    <w:basedOn w:val="1"/>
    <w:link w:val="19"/>
    <w:unhideWhenUsed/>
    <w:uiPriority w:val="99"/>
    <w:pPr>
      <w:tabs>
        <w:tab w:val="center" w:pos="4153"/>
        <w:tab w:val="right" w:pos="8306"/>
      </w:tabs>
      <w:snapToGrid w:val="0"/>
      <w:jc w:val="left"/>
    </w:pPr>
    <w:rPr>
      <w:rFonts w:cs="Times New Roman"/>
      <w:kern w:val="0"/>
      <w:sz w:val="18"/>
      <w:szCs w:val="18"/>
    </w:rPr>
  </w:style>
  <w:style w:type="paragraph" w:styleId="9">
    <w:name w:val="header"/>
    <w:basedOn w:val="1"/>
    <w:link w:val="20"/>
    <w:unhideWhenUsed/>
    <w:uiPriority w:val="99"/>
    <w:pPr>
      <w:pBdr>
        <w:bottom w:val="single" w:color="auto" w:sz="6" w:space="1"/>
      </w:pBdr>
      <w:tabs>
        <w:tab w:val="center" w:pos="4153"/>
        <w:tab w:val="right" w:pos="8306"/>
      </w:tabs>
      <w:snapToGrid w:val="0"/>
      <w:jc w:val="center"/>
    </w:pPr>
    <w:rPr>
      <w:rFonts w:cs="Times New Roman"/>
      <w:kern w:val="0"/>
      <w:sz w:val="18"/>
      <w:szCs w:val="18"/>
    </w:rPr>
  </w:style>
  <w:style w:type="character" w:styleId="12">
    <w:name w:val="FollowedHyperlink"/>
    <w:unhideWhenUsed/>
    <w:uiPriority w:val="99"/>
    <w:rPr>
      <w:color w:val="800080"/>
      <w:u w:val="single"/>
    </w:rPr>
  </w:style>
  <w:style w:type="character" w:styleId="13">
    <w:name w:val="Hyperlink"/>
    <w:unhideWhenUsed/>
    <w:uiPriority w:val="99"/>
    <w:rPr>
      <w:color w:val="0000FF"/>
      <w:u w:val="single"/>
    </w:rPr>
  </w:style>
  <w:style w:type="character" w:customStyle="1" w:styleId="14">
    <w:name w:val="标题 1 Char"/>
    <w:link w:val="2"/>
    <w:uiPriority w:val="9"/>
    <w:rPr>
      <w:b/>
      <w:sz w:val="28"/>
      <w:szCs w:val="28"/>
    </w:rPr>
  </w:style>
  <w:style w:type="character" w:customStyle="1" w:styleId="15">
    <w:name w:val="标题 2 Char"/>
    <w:link w:val="4"/>
    <w:uiPriority w:val="9"/>
    <w:rPr>
      <w:b/>
      <w:sz w:val="24"/>
      <w:szCs w:val="24"/>
    </w:rPr>
  </w:style>
  <w:style w:type="character" w:customStyle="1" w:styleId="16">
    <w:name w:val="标题 3 Char"/>
    <w:link w:val="5"/>
    <w:uiPriority w:val="9"/>
    <w:rPr>
      <w:b/>
      <w:szCs w:val="21"/>
    </w:rPr>
  </w:style>
  <w:style w:type="character" w:customStyle="1" w:styleId="17">
    <w:name w:val="文档结构图 Char"/>
    <w:link w:val="6"/>
    <w:semiHidden/>
    <w:uiPriority w:val="99"/>
    <w:rPr>
      <w:rFonts w:ascii="Calibri Light" w:eastAsia="Calibri Light"/>
      <w:sz w:val="18"/>
      <w:szCs w:val="18"/>
    </w:rPr>
  </w:style>
  <w:style w:type="character" w:customStyle="1" w:styleId="18">
    <w:name w:val="批注框文本 Char"/>
    <w:link w:val="7"/>
    <w:semiHidden/>
    <w:uiPriority w:val="99"/>
    <w:rPr>
      <w:sz w:val="18"/>
      <w:szCs w:val="18"/>
    </w:rPr>
  </w:style>
  <w:style w:type="character" w:customStyle="1" w:styleId="19">
    <w:name w:val="页脚 Char"/>
    <w:link w:val="8"/>
    <w:uiPriority w:val="99"/>
    <w:rPr>
      <w:sz w:val="18"/>
      <w:szCs w:val="18"/>
    </w:rPr>
  </w:style>
  <w:style w:type="character" w:customStyle="1" w:styleId="20">
    <w:name w:val="页眉 Char"/>
    <w:link w:val="9"/>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262</Words>
  <Characters>1494</Characters>
  <Lines>12</Lines>
  <Paragraphs>3</Paragraphs>
  <TotalTime>6</TotalTime>
  <ScaleCrop>false</ScaleCrop>
  <LinksUpToDate>false</LinksUpToDate>
  <CharactersWithSpaces>1753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2018-03-06T02:20:00Z</dcterms:created>
  <dc:creator>xiu</dc:creator>
  <cp:lastModifiedBy>糯米</cp:lastModifiedBy>
  <dcterms:modified xsi:type="dcterms:W3CDTF">2024-01-28T03:36:05Z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B24B87B38FB84A61B494124E113B18E1_13</vt:lpwstr>
  </property>
</Properties>
</file>